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54B" w:rsidRDefault="0073754B">
      <w:pPr>
        <w:suppressAutoHyphens/>
        <w:spacing w:line="240" w:lineRule="atLeast"/>
        <w:jc w:val="both"/>
        <w:rPr>
          <w:spacing w:val="-3"/>
        </w:rPr>
      </w:pPr>
      <w:r>
        <w:rPr>
          <w:b/>
          <w:bCs/>
          <w:spacing w:val="-3"/>
        </w:rPr>
        <w:t>R307.  Environmental Quality, Air Quality</w:t>
      </w:r>
      <w:bookmarkStart w:id="0" w:name="_GoBack"/>
      <w:bookmarkEnd w:id="0"/>
    </w:p>
    <w:p w:rsidR="0073754B" w:rsidRDefault="0073754B">
      <w:pPr>
        <w:suppressAutoHyphens/>
        <w:spacing w:line="240" w:lineRule="atLeast"/>
        <w:jc w:val="both"/>
        <w:rPr>
          <w:spacing w:val="-3"/>
        </w:rPr>
      </w:pPr>
      <w:r>
        <w:rPr>
          <w:b/>
          <w:bCs/>
          <w:spacing w:val="-3"/>
        </w:rPr>
        <w:t>R307-210.  Standards of Performance for New Stationary Sources.</w:t>
      </w:r>
    </w:p>
    <w:p w:rsidR="0073754B" w:rsidRDefault="0073754B">
      <w:pPr>
        <w:suppressAutoHyphens/>
        <w:spacing w:line="240" w:lineRule="atLeast"/>
        <w:jc w:val="both"/>
        <w:rPr>
          <w:spacing w:val="-3"/>
        </w:rPr>
      </w:pPr>
      <w:r>
        <w:rPr>
          <w:b/>
          <w:bCs/>
          <w:spacing w:val="-3"/>
        </w:rPr>
        <w:t>R307-210-1.  Standards of Performance for New Stationary Sources.</w:t>
      </w:r>
    </w:p>
    <w:p w:rsidR="0073754B" w:rsidRDefault="0073754B">
      <w:pPr>
        <w:suppressAutoHyphens/>
        <w:spacing w:line="240" w:lineRule="atLeast"/>
        <w:jc w:val="both"/>
        <w:rPr>
          <w:spacing w:val="-3"/>
        </w:rPr>
      </w:pPr>
      <w:r>
        <w:rPr>
          <w:spacing w:val="-3"/>
        </w:rPr>
        <w:tab/>
        <w:t xml:space="preserve">The provisions of 40 Code of Federal Regulations (CFR) Part </w:t>
      </w:r>
      <w:proofErr w:type="gramStart"/>
      <w:r>
        <w:rPr>
          <w:spacing w:val="-3"/>
        </w:rPr>
        <w:t>60,</w:t>
      </w:r>
      <w:r w:rsidR="00AE5EF0">
        <w:rPr>
          <w:spacing w:val="-3"/>
        </w:rPr>
        <w:t>[</w:t>
      </w:r>
      <w:proofErr w:type="gramEnd"/>
      <w:r w:rsidRPr="00AE5EF0">
        <w:rPr>
          <w:strike/>
          <w:spacing w:val="-3"/>
        </w:rPr>
        <w:t xml:space="preserve"> effective on July 1, 201</w:t>
      </w:r>
      <w:r w:rsidR="00493493" w:rsidRPr="00AE5EF0">
        <w:rPr>
          <w:strike/>
          <w:spacing w:val="-3"/>
        </w:rPr>
        <w:t>9</w:t>
      </w:r>
      <w:r w:rsidRPr="00AE5EF0">
        <w:rPr>
          <w:strike/>
          <w:spacing w:val="-3"/>
        </w:rPr>
        <w:t>,</w:t>
      </w:r>
      <w:r w:rsidR="00AE5EF0">
        <w:rPr>
          <w:spacing w:val="-3"/>
        </w:rPr>
        <w:t>]</w:t>
      </w:r>
      <w:r>
        <w:rPr>
          <w:spacing w:val="-3"/>
        </w:rPr>
        <w:t xml:space="preserve"> except for Subparts </w:t>
      </w:r>
      <w:proofErr w:type="spellStart"/>
      <w:r>
        <w:rPr>
          <w:spacing w:val="-3"/>
        </w:rPr>
        <w:t>Cb</w:t>
      </w:r>
      <w:proofErr w:type="spellEnd"/>
      <w:r>
        <w:rPr>
          <w:spacing w:val="-3"/>
        </w:rPr>
        <w:t>, Cc, Cd, Ce, BBBB, DDDD, and HHHH, are incorporated by reference into these rules with the exception that references in 40 CFR to "Administrator" shall mean "director" unless by federal law the authority referenced is specific to the Administrator and cannot be delegated.</w:t>
      </w:r>
    </w:p>
    <w:p w:rsidR="0073754B" w:rsidRDefault="0073754B">
      <w:pPr>
        <w:suppressAutoHyphens/>
        <w:spacing w:line="240" w:lineRule="atLeast"/>
        <w:jc w:val="both"/>
        <w:rPr>
          <w:spacing w:val="-3"/>
        </w:rPr>
      </w:pPr>
    </w:p>
    <w:p w:rsidR="0073754B" w:rsidRDefault="0073754B">
      <w:pPr>
        <w:suppressAutoHyphens/>
        <w:spacing w:line="240" w:lineRule="atLeast"/>
        <w:jc w:val="both"/>
        <w:rPr>
          <w:spacing w:val="-3"/>
        </w:rPr>
      </w:pPr>
      <w:r>
        <w:rPr>
          <w:b/>
          <w:bCs/>
          <w:spacing w:val="-3"/>
        </w:rPr>
        <w:t>KEY:  air pollution, stationary sources, new source review</w:t>
      </w:r>
    </w:p>
    <w:p w:rsidR="0073754B" w:rsidRPr="00493493" w:rsidRDefault="0073754B">
      <w:pPr>
        <w:suppressAutoHyphens/>
        <w:spacing w:line="240" w:lineRule="atLeast"/>
        <w:jc w:val="both"/>
        <w:rPr>
          <w:spacing w:val="-3"/>
          <w:u w:val="single"/>
        </w:rPr>
      </w:pPr>
      <w:r>
        <w:rPr>
          <w:b/>
          <w:bCs/>
          <w:spacing w:val="-3"/>
        </w:rPr>
        <w:t xml:space="preserve">Date of Enactment or Last Substantive Amendment:  </w:t>
      </w:r>
      <w:r w:rsidR="00AE5EF0">
        <w:rPr>
          <w:b/>
          <w:bCs/>
          <w:spacing w:val="-3"/>
        </w:rPr>
        <w:t>June 4, 2020</w:t>
      </w:r>
    </w:p>
    <w:p w:rsidR="0073754B" w:rsidRDefault="0073754B">
      <w:pPr>
        <w:suppressAutoHyphens/>
        <w:spacing w:line="240" w:lineRule="atLeast"/>
        <w:jc w:val="both"/>
        <w:rPr>
          <w:spacing w:val="-3"/>
        </w:rPr>
      </w:pPr>
      <w:r>
        <w:rPr>
          <w:b/>
          <w:bCs/>
          <w:spacing w:val="-3"/>
        </w:rPr>
        <w:t>Notice of Continuation:  May 12, 2016</w:t>
      </w:r>
    </w:p>
    <w:p w:rsidR="0073754B" w:rsidRDefault="0073754B">
      <w:pPr>
        <w:suppressAutoHyphens/>
        <w:spacing w:line="240" w:lineRule="atLeast"/>
        <w:jc w:val="both"/>
        <w:rPr>
          <w:spacing w:val="-3"/>
        </w:rPr>
      </w:pPr>
      <w:r>
        <w:rPr>
          <w:b/>
          <w:bCs/>
          <w:spacing w:val="-3"/>
        </w:rPr>
        <w:t>Authorizing, and Implemented or Interpreted Law:  19-2-104(3)(q); 19-2-108</w:t>
      </w:r>
    </w:p>
    <w:p w:rsidR="0073754B" w:rsidRDefault="0073754B">
      <w:pPr>
        <w:suppressAutoHyphens/>
        <w:spacing w:line="240" w:lineRule="atLeast"/>
        <w:jc w:val="both"/>
        <w:rPr>
          <w:spacing w:val="-3"/>
        </w:rPr>
      </w:pPr>
    </w:p>
    <w:p w:rsidR="0073754B" w:rsidRDefault="0073754B">
      <w:pPr>
        <w:suppressAutoHyphens/>
        <w:spacing w:line="240" w:lineRule="atLeast"/>
        <w:jc w:val="both"/>
        <w:rPr>
          <w:spacing w:val="-3"/>
        </w:rPr>
      </w:pPr>
    </w:p>
    <w:sectPr w:rsidR="0073754B" w:rsidSect="000C1C53">
      <w:headerReference w:type="default" r:id="rId7"/>
      <w:pgSz w:w="12240" w:h="15840"/>
      <w:pgMar w:top="1440" w:right="1440" w:bottom="1440" w:left="1440" w:header="1440" w:footer="1440" w:gutter="0"/>
      <w:lnNumType w:countBy="1"/>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BB1" w:rsidRDefault="00AC1BB1">
      <w:pPr>
        <w:spacing w:line="20" w:lineRule="exact"/>
        <w:rPr>
          <w:rFonts w:cs="Times New Roman"/>
        </w:rPr>
      </w:pPr>
    </w:p>
  </w:endnote>
  <w:endnote w:type="continuationSeparator" w:id="0">
    <w:p w:rsidR="00AC1BB1" w:rsidRDefault="00AC1BB1" w:rsidP="0073754B">
      <w:r>
        <w:rPr>
          <w:rFonts w:cs="Times New Roman"/>
        </w:rPr>
        <w:t xml:space="preserve"> </w:t>
      </w:r>
    </w:p>
  </w:endnote>
  <w:endnote w:type="continuationNotice" w:id="1">
    <w:p w:rsidR="00AC1BB1" w:rsidRDefault="00AC1BB1" w:rsidP="0073754B">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BB1" w:rsidRDefault="00AC1BB1" w:rsidP="0073754B">
      <w:r>
        <w:rPr>
          <w:rFonts w:cs="Times New Roman"/>
        </w:rPr>
        <w:separator/>
      </w:r>
    </w:p>
  </w:footnote>
  <w:footnote w:type="continuationSeparator" w:id="0">
    <w:p w:rsidR="00AC1BB1" w:rsidRDefault="00AC1BB1" w:rsidP="00737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758" w:rsidRDefault="00ED4537">
    <w:pPr>
      <w:pStyle w:val="Header"/>
    </w:pPr>
    <w:r>
      <w:t>February 3</w:t>
    </w:r>
    <w:r w:rsidR="008A0758">
      <w:t>, 202</w:t>
    </w:r>
    <w:r>
      <w:t>1</w:t>
    </w:r>
    <w:r w:rsidR="008A0758">
      <w:ptab w:relativeTo="margin" w:alignment="center" w:leader="none"/>
    </w:r>
    <w:r w:rsidR="008A0758">
      <w:t>R307-210</w:t>
    </w:r>
    <w:r w:rsidR="008A0758">
      <w:ptab w:relativeTo="margin" w:alignment="right" w:leader="none"/>
    </w:r>
    <w:r w:rsidR="008A0758">
      <w:t>Page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54B"/>
    <w:rsid w:val="000C1C53"/>
    <w:rsid w:val="001179A9"/>
    <w:rsid w:val="00416715"/>
    <w:rsid w:val="00493493"/>
    <w:rsid w:val="0073754B"/>
    <w:rsid w:val="008A0758"/>
    <w:rsid w:val="00AC1BB1"/>
    <w:rsid w:val="00AE5EF0"/>
    <w:rsid w:val="00ED4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27F08D"/>
  <w14:defaultImageDpi w14:val="0"/>
  <w15:docId w15:val="{B84A5C63-387D-4462-B42F-A6B41AEA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imes New Roman"/>
    </w:rPr>
  </w:style>
  <w:style w:type="character" w:customStyle="1" w:styleId="EndnoteTextChar">
    <w:name w:val="Endnote Text Char"/>
    <w:basedOn w:val="DefaultParagraphFont"/>
    <w:link w:val="EndnoteText"/>
    <w:uiPriority w:val="99"/>
    <w:semiHidden/>
    <w:locked/>
    <w:rsid w:val="0073754B"/>
    <w:rPr>
      <w:rFonts w:ascii="Courier" w:hAnsi="Courier" w:cs="Courier"/>
      <w:sz w:val="20"/>
      <w:szCs w:val="20"/>
    </w:rPr>
  </w:style>
  <w:style w:type="character" w:styleId="EndnoteReference">
    <w:name w:val="endnote reference"/>
    <w:basedOn w:val="DefaultParagraphFont"/>
    <w:uiPriority w:val="99"/>
    <w:rPr>
      <w:rFonts w:cs="Times New Roman"/>
      <w:vertAlign w:val="superscript"/>
    </w:rPr>
  </w:style>
  <w:style w:type="paragraph" w:styleId="FootnoteText">
    <w:name w:val="footnote text"/>
    <w:basedOn w:val="Normal"/>
    <w:link w:val="FootnoteTextChar"/>
    <w:uiPriority w:val="99"/>
    <w:rPr>
      <w:rFonts w:cs="Times New Roman"/>
    </w:rPr>
  </w:style>
  <w:style w:type="character" w:customStyle="1" w:styleId="FootnoteTextChar">
    <w:name w:val="Footnote Text Char"/>
    <w:basedOn w:val="DefaultParagraphFont"/>
    <w:link w:val="FootnoteText"/>
    <w:uiPriority w:val="99"/>
    <w:semiHidden/>
    <w:locked/>
    <w:rsid w:val="0073754B"/>
    <w:rPr>
      <w:rFonts w:ascii="Courier" w:hAnsi="Courier" w:cs="Courier"/>
      <w:sz w:val="20"/>
      <w:szCs w:val="20"/>
    </w:rPr>
  </w:style>
  <w:style w:type="character" w:styleId="FootnoteReference">
    <w:name w:val="footnote reference"/>
    <w:basedOn w:val="DefaultParagraphFont"/>
    <w:uiPriority w:val="99"/>
    <w:rPr>
      <w:rFonts w:cs="Times New Roman"/>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imes New Roman"/>
    </w:rPr>
  </w:style>
  <w:style w:type="character" w:customStyle="1" w:styleId="EquationCaption">
    <w:name w:val="_Equation Caption"/>
    <w:uiPriority w:val="99"/>
  </w:style>
  <w:style w:type="character" w:styleId="LineNumber">
    <w:name w:val="line number"/>
    <w:basedOn w:val="DefaultParagraphFont"/>
    <w:uiPriority w:val="99"/>
    <w:semiHidden/>
    <w:unhideWhenUsed/>
    <w:rsid w:val="000C1C53"/>
  </w:style>
  <w:style w:type="paragraph" w:styleId="Header">
    <w:name w:val="header"/>
    <w:basedOn w:val="Normal"/>
    <w:link w:val="HeaderChar"/>
    <w:uiPriority w:val="99"/>
    <w:unhideWhenUsed/>
    <w:rsid w:val="008A0758"/>
    <w:pPr>
      <w:tabs>
        <w:tab w:val="center" w:pos="4680"/>
        <w:tab w:val="right" w:pos="9360"/>
      </w:tabs>
    </w:pPr>
  </w:style>
  <w:style w:type="character" w:customStyle="1" w:styleId="HeaderChar">
    <w:name w:val="Header Char"/>
    <w:basedOn w:val="DefaultParagraphFont"/>
    <w:link w:val="Header"/>
    <w:uiPriority w:val="99"/>
    <w:rsid w:val="008A0758"/>
    <w:rPr>
      <w:rFonts w:ascii="Courier" w:hAnsi="Courier" w:cs="Courier"/>
      <w:sz w:val="24"/>
      <w:szCs w:val="24"/>
    </w:rPr>
  </w:style>
  <w:style w:type="paragraph" w:styleId="Footer">
    <w:name w:val="footer"/>
    <w:basedOn w:val="Normal"/>
    <w:link w:val="FooterChar"/>
    <w:uiPriority w:val="99"/>
    <w:unhideWhenUsed/>
    <w:rsid w:val="008A0758"/>
    <w:pPr>
      <w:tabs>
        <w:tab w:val="center" w:pos="4680"/>
        <w:tab w:val="right" w:pos="9360"/>
      </w:tabs>
    </w:pPr>
  </w:style>
  <w:style w:type="character" w:customStyle="1" w:styleId="FooterChar">
    <w:name w:val="Footer Char"/>
    <w:basedOn w:val="DefaultParagraphFont"/>
    <w:link w:val="Footer"/>
    <w:uiPriority w:val="99"/>
    <w:rsid w:val="008A0758"/>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Thrailkill</dc:creator>
  <cp:keywords/>
  <dc:description/>
  <cp:lastModifiedBy>Liam Thrailkill</cp:lastModifiedBy>
  <cp:revision>2</cp:revision>
  <dcterms:created xsi:type="dcterms:W3CDTF">2021-01-15T18:25:00Z</dcterms:created>
  <dcterms:modified xsi:type="dcterms:W3CDTF">2021-01-15T18:25:00Z</dcterms:modified>
</cp:coreProperties>
</file>